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Prezes NFZ wyznaczył </w:t>
            </w:r>
            <w:r w:rsidR="006370ED">
              <w:rPr>
                <w:rFonts w:ascii="Times New Roman" w:eastAsia="Calibri" w:hAnsi="Times New Roman" w:cs="Times New Roman"/>
                <w:bCs/>
              </w:rPr>
              <w:t>i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nspektora </w:t>
            </w:r>
            <w:r w:rsidR="006370ED">
              <w:rPr>
                <w:rFonts w:ascii="Times New Roman" w:eastAsia="Calibri" w:hAnsi="Times New Roman" w:cs="Times New Roman"/>
                <w:bCs/>
              </w:rPr>
              <w:t>O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chrony </w:t>
            </w:r>
            <w:r w:rsidR="006370ED">
              <w:rPr>
                <w:rFonts w:ascii="Times New Roman" w:eastAsia="Calibri" w:hAnsi="Times New Roman" w:cs="Times New Roman"/>
                <w:bCs/>
              </w:rPr>
              <w:t>D</w:t>
            </w:r>
            <w:r w:rsidRPr="00B40B63">
              <w:rPr>
                <w:rFonts w:ascii="Times New Roman" w:eastAsia="Calibri" w:hAnsi="Times New Roman" w:cs="Times New Roman"/>
                <w:bCs/>
              </w:rPr>
              <w:t>anych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e-mailem</w:t>
            </w:r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sectPr w:rsidR="00FA4FFB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F3479"/>
    <w:rsid w:val="00192FB9"/>
    <w:rsid w:val="0026200A"/>
    <w:rsid w:val="004836D3"/>
    <w:rsid w:val="006370ED"/>
    <w:rsid w:val="00855EEC"/>
    <w:rsid w:val="00B40B63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E8EBE-AEFF-4078-A908-C1DEEE7C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Deląg-Zapała Sylwia</cp:lastModifiedBy>
  <cp:revision>2</cp:revision>
  <dcterms:created xsi:type="dcterms:W3CDTF">2021-03-10T08:14:00Z</dcterms:created>
  <dcterms:modified xsi:type="dcterms:W3CDTF">2021-03-10T08:14:00Z</dcterms:modified>
</cp:coreProperties>
</file>